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CC9B" w14:textId="77777777" w:rsidR="003A67F7" w:rsidRPr="00E9590E" w:rsidRDefault="00693DDF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ÚVOD</w:t>
      </w:r>
    </w:p>
    <w:p w14:paraId="065B2463" w14:textId="6AD26C14" w:rsidR="004A16EC" w:rsidRDefault="003A67F7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4"/>
          <w:szCs w:val="24"/>
        </w:rPr>
        <w:tab/>
      </w:r>
      <w:r w:rsidR="00FE364B" w:rsidRPr="00D302F1">
        <w:rPr>
          <w:rFonts w:ascii="Arial" w:eastAsia="Times New Roman" w:hAnsi="Arial" w:cs="Arial"/>
          <w:sz w:val="20"/>
          <w:szCs w:val="20"/>
          <w:lang w:eastAsia="cs-CZ"/>
        </w:rPr>
        <w:t>Řešen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 xml:space="preserve">é třetí nadzemní podlaží objektu </w:t>
      </w:r>
      <w:r w:rsidR="001C34AA" w:rsidRPr="00D302F1">
        <w:rPr>
          <w:rFonts w:ascii="Arial" w:eastAsia="Times New Roman" w:hAnsi="Arial" w:cs="Arial"/>
          <w:sz w:val="20"/>
          <w:szCs w:val="20"/>
          <w:lang w:eastAsia="cs-CZ"/>
        </w:rPr>
        <w:t>bude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 xml:space="preserve"> napojeno na stávající rozvody z kotelny v druhém patře</w:t>
      </w: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="00D2682A">
        <w:rPr>
          <w:rFonts w:ascii="Arial" w:eastAsia="Times New Roman" w:hAnsi="Arial" w:cs="Arial"/>
          <w:sz w:val="20"/>
          <w:szCs w:val="20"/>
          <w:lang w:eastAsia="cs-CZ"/>
        </w:rPr>
        <w:t xml:space="preserve">Nové rozvody se napojí na volnou větev na stávajícím rozdělovači a sběrači. 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>Třetí nadzemní podlaží</w:t>
      </w: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1C34AA" w:rsidRPr="00D302F1">
        <w:rPr>
          <w:rFonts w:ascii="Arial" w:eastAsia="Times New Roman" w:hAnsi="Arial" w:cs="Arial"/>
          <w:sz w:val="20"/>
          <w:szCs w:val="20"/>
          <w:lang w:eastAsia="cs-CZ"/>
        </w:rPr>
        <w:t>bude vytápěn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586E98">
        <w:rPr>
          <w:rFonts w:ascii="Arial" w:eastAsia="Times New Roman" w:hAnsi="Arial" w:cs="Arial"/>
          <w:sz w:val="20"/>
          <w:szCs w:val="20"/>
          <w:lang w:eastAsia="cs-CZ"/>
        </w:rPr>
        <w:t>deskovými otopným</w:t>
      </w:r>
      <w:r w:rsidR="004703C7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586E98">
        <w:rPr>
          <w:rFonts w:ascii="Arial" w:eastAsia="Times New Roman" w:hAnsi="Arial" w:cs="Arial"/>
          <w:sz w:val="20"/>
          <w:szCs w:val="20"/>
          <w:lang w:eastAsia="cs-CZ"/>
        </w:rPr>
        <w:t xml:space="preserve"> tělesy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 xml:space="preserve">. Otopné tělesa jsou </w:t>
      </w:r>
      <w:proofErr w:type="gramStart"/>
      <w:r w:rsidR="002B52C2">
        <w:rPr>
          <w:rFonts w:ascii="Arial" w:eastAsia="Times New Roman" w:hAnsi="Arial" w:cs="Arial"/>
          <w:sz w:val="20"/>
          <w:szCs w:val="20"/>
          <w:lang w:eastAsia="cs-CZ"/>
        </w:rPr>
        <w:t>navrženy</w:t>
      </w:r>
      <w:proofErr w:type="gramEnd"/>
      <w:r w:rsidR="002B52C2">
        <w:rPr>
          <w:rFonts w:ascii="Arial" w:eastAsia="Times New Roman" w:hAnsi="Arial" w:cs="Arial"/>
          <w:sz w:val="20"/>
          <w:szCs w:val="20"/>
          <w:lang w:eastAsia="cs-CZ"/>
        </w:rPr>
        <w:t xml:space="preserve"> na předpokládaný teplotní spád 55/40</w:t>
      </w:r>
      <w:r w:rsidR="002B52C2" w:rsidRPr="002B52C2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o</w:t>
      </w:r>
      <w:r w:rsidR="002B52C2">
        <w:rPr>
          <w:rFonts w:ascii="Arial" w:eastAsia="Times New Roman" w:hAnsi="Arial" w:cs="Arial"/>
          <w:sz w:val="20"/>
          <w:szCs w:val="20"/>
          <w:lang w:eastAsia="cs-CZ"/>
        </w:rPr>
        <w:t>C.</w:t>
      </w:r>
    </w:p>
    <w:p w14:paraId="718FA7C7" w14:textId="77777777" w:rsidR="004A16EC" w:rsidRDefault="004A16EC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2477E1" w14:textId="77777777" w:rsidR="00CF3EB5" w:rsidRPr="00CF3EB5" w:rsidRDefault="004A16EC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16EC">
        <w:rPr>
          <w:rFonts w:ascii="Arial" w:hAnsi="Arial" w:cs="Arial"/>
          <w:b/>
          <w:sz w:val="20"/>
          <w:szCs w:val="20"/>
        </w:rPr>
        <w:t xml:space="preserve">POUŽITÉ PŘEDPISY A OBECNÉ TECHNICKÉ NORMY </w:t>
      </w:r>
    </w:p>
    <w:p w14:paraId="2517AC83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Zákon č. 201/2012 Sb. - o ochraně ovzduší a související předpisy v platném znění</w:t>
      </w:r>
    </w:p>
    <w:p w14:paraId="1841D2C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Vyhláška č. 415/2012 Sb. o přípustné úrovni znečišťování a jejím zjišťování a o provedení některých</w:t>
      </w:r>
    </w:p>
    <w:p w14:paraId="304067E0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dalších ustanovení zákona o ochraně ovzduší</w:t>
      </w:r>
    </w:p>
    <w:p w14:paraId="31DDC3B5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Zákon č. 320/2015 Sb. Zákon o Hasičském záchranném sboru České republiky a o změně některých</w:t>
      </w:r>
    </w:p>
    <w:p w14:paraId="23A9CD99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zákonů (zákon o hasičském záchranném sboru</w:t>
      </w:r>
    </w:p>
    <w:p w14:paraId="44412E10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Nařízení vlády č.361/2007 Sb. ze dne 28. prosince 2007, kterým se stanoví podmínky ochrany zdraví</w:t>
      </w:r>
    </w:p>
    <w:p w14:paraId="13910098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zaměstnanců při práci v platném znění</w:t>
      </w:r>
    </w:p>
    <w:p w14:paraId="3CD08675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proofErr w:type="spellStart"/>
      <w:r w:rsidRPr="00D302F1"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 w:rsidRPr="00D302F1">
        <w:rPr>
          <w:rFonts w:ascii="Arial" w:eastAsia="Times New Roman" w:hAnsi="Arial" w:cs="Arial"/>
          <w:sz w:val="20"/>
          <w:szCs w:val="20"/>
          <w:lang w:eastAsia="cs-CZ"/>
        </w:rPr>
        <w:t>. 193/2007- kterou se stanoví podrobnosti účinnosti užití energie při rozvodu tepelné energie a</w:t>
      </w:r>
    </w:p>
    <w:p w14:paraId="26C31C09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vnitřním rozvodu tepelné energie a chladu</w:t>
      </w:r>
    </w:p>
    <w:p w14:paraId="26173D78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proofErr w:type="spellStart"/>
      <w:r w:rsidRPr="00D302F1"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 w:rsidRPr="00D302F1">
        <w:rPr>
          <w:rFonts w:ascii="Arial" w:eastAsia="Times New Roman" w:hAnsi="Arial" w:cs="Arial"/>
          <w:sz w:val="20"/>
          <w:szCs w:val="20"/>
          <w:lang w:eastAsia="cs-CZ"/>
        </w:rPr>
        <w:t>. 194/2007- kterou se stanoví pravidla pro vytápění a dodávku teplé vody, měrné ukazatele</w:t>
      </w:r>
    </w:p>
    <w:p w14:paraId="649DE0E9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spotřeby tepelné energie pro vytápění a pro přípravu teplé vody a požadavky na vybavení vnitřních</w:t>
      </w:r>
    </w:p>
    <w:p w14:paraId="17CA2CF4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tepelných zařízení budov přístroji regulujícími dodávku tepelné energie konečným spotřebitelům</w:t>
      </w:r>
    </w:p>
    <w:p w14:paraId="422B4C1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73 0540-3 - Tepelná ochrana budov – Část 3: Návrh hodnoty veličin</w:t>
      </w:r>
    </w:p>
    <w:p w14:paraId="12137BE2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proofErr w:type="spellStart"/>
      <w:r w:rsidRPr="00D302F1"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 w:rsidRPr="00D302F1">
        <w:rPr>
          <w:rFonts w:ascii="Arial" w:eastAsia="Times New Roman" w:hAnsi="Arial" w:cs="Arial"/>
          <w:sz w:val="20"/>
          <w:szCs w:val="20"/>
          <w:lang w:eastAsia="cs-CZ"/>
        </w:rPr>
        <w:t>. 268/2009 – kterou se stanoví že, spaliny spotřebičů paliv se odvádí nad střechu budovy</w:t>
      </w:r>
    </w:p>
    <w:p w14:paraId="108438F0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- ČSN EN 12 831 – Tepelné soustavy v budovách – Výpočet </w:t>
      </w:r>
      <w:proofErr w:type="spellStart"/>
      <w:proofErr w:type="gramStart"/>
      <w:r w:rsidRPr="00D302F1">
        <w:rPr>
          <w:rFonts w:ascii="Arial" w:eastAsia="Times New Roman" w:hAnsi="Arial" w:cs="Arial"/>
          <w:sz w:val="20"/>
          <w:szCs w:val="20"/>
          <w:lang w:eastAsia="cs-CZ"/>
        </w:rPr>
        <w:t>tep.výkonu</w:t>
      </w:r>
      <w:proofErr w:type="spellEnd"/>
      <w:proofErr w:type="gramEnd"/>
    </w:p>
    <w:p w14:paraId="3B890CA1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06 0310 – Tepelné soustavy v budovách – Projektování a montáž</w:t>
      </w:r>
    </w:p>
    <w:p w14:paraId="13B6543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06 1101 – Otopná tělesa pro ústřední vytápění</w:t>
      </w:r>
    </w:p>
    <w:p w14:paraId="54CA29CF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- ČSN 06 0830 – Tepelné soustavy v </w:t>
      </w:r>
      <w:proofErr w:type="gramStart"/>
      <w:r w:rsidRPr="00D302F1">
        <w:rPr>
          <w:rFonts w:ascii="Arial" w:eastAsia="Times New Roman" w:hAnsi="Arial" w:cs="Arial"/>
          <w:sz w:val="20"/>
          <w:szCs w:val="20"/>
          <w:lang w:eastAsia="cs-CZ"/>
        </w:rPr>
        <w:t>budovách - Zabezpečovací</w:t>
      </w:r>
      <w:proofErr w:type="gramEnd"/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 zařízení</w:t>
      </w:r>
    </w:p>
    <w:p w14:paraId="6AB2C3E3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12831 Tepelné soustavy v budovách – výpočet tepelného výkonu</w:t>
      </w:r>
    </w:p>
    <w:p w14:paraId="6711C590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15 316-2-1 Tepelné soustavy v budovách – sdílení tepla pro vytápění</w:t>
      </w:r>
    </w:p>
    <w:p w14:paraId="2FD506F2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15 316-2-3 Tepelné soustavy v budovách – rozvody tepla pro vytápění</w:t>
      </w:r>
    </w:p>
    <w:p w14:paraId="1A783F64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15 316-4-1 Tepelné soustavy v budovách – výroba tepla k vytápění – kotle</w:t>
      </w:r>
    </w:p>
    <w:p w14:paraId="1224B221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1775 Plynové spotřebiče a jejich umístění</w:t>
      </w:r>
    </w:p>
    <w:p w14:paraId="24D24474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07 0703 Kotelny se zařízením na plynná paliva</w:t>
      </w:r>
    </w:p>
    <w:p w14:paraId="3198CCEA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73 4201 Komíny a kouřovody, navrhování a montáž</w:t>
      </w:r>
    </w:p>
    <w:p w14:paraId="4DF9FE61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- Vyhláška č. 91 ČÚBP </w:t>
      </w:r>
      <w:proofErr w:type="gramStart"/>
      <w:r w:rsidRPr="00D302F1">
        <w:rPr>
          <w:rFonts w:ascii="Arial" w:eastAsia="Times New Roman" w:hAnsi="Arial" w:cs="Arial"/>
          <w:sz w:val="20"/>
          <w:szCs w:val="20"/>
          <w:lang w:eastAsia="cs-CZ"/>
        </w:rPr>
        <w:t>z .</w:t>
      </w:r>
      <w:proofErr w:type="gramEnd"/>
      <w:r w:rsidRPr="00D302F1">
        <w:rPr>
          <w:rFonts w:ascii="Arial" w:eastAsia="Times New Roman" w:hAnsi="Arial" w:cs="Arial"/>
          <w:sz w:val="20"/>
          <w:szCs w:val="20"/>
          <w:lang w:eastAsia="cs-CZ"/>
        </w:rPr>
        <w:t>r. 1993</w:t>
      </w:r>
    </w:p>
    <w:p w14:paraId="0AA0B31F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ČSN EN ISO 13790 Energetická náročnost budov – výpočet spotřeby energie na vytápění a chlazení</w:t>
      </w:r>
    </w:p>
    <w:p w14:paraId="5204649B" w14:textId="77777777" w:rsidR="00CF3EB5" w:rsidRPr="00D302F1" w:rsidRDefault="00CF3EB5" w:rsidP="00CF3EB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>- Zákon 406/2000 Sb. O hospodaření energií, ve smyslu dalších novelizací</w:t>
      </w:r>
    </w:p>
    <w:p w14:paraId="0D947EEE" w14:textId="77777777" w:rsidR="003A67F7" w:rsidRPr="00E9590E" w:rsidRDefault="00CF3EB5" w:rsidP="00CF3E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- ČSN EN 15665 Větrání </w:t>
      </w:r>
      <w:proofErr w:type="gramStart"/>
      <w:r w:rsidRPr="00D302F1">
        <w:rPr>
          <w:rFonts w:ascii="Arial" w:eastAsia="Times New Roman" w:hAnsi="Arial" w:cs="Arial"/>
          <w:sz w:val="20"/>
          <w:szCs w:val="20"/>
          <w:lang w:eastAsia="cs-CZ"/>
        </w:rPr>
        <w:t>budov - Stanovení</w:t>
      </w:r>
      <w:proofErr w:type="gramEnd"/>
      <w:r w:rsidRPr="00D302F1">
        <w:rPr>
          <w:rFonts w:ascii="Arial" w:eastAsia="Times New Roman" w:hAnsi="Arial" w:cs="Arial"/>
          <w:sz w:val="20"/>
          <w:szCs w:val="20"/>
          <w:lang w:eastAsia="cs-CZ"/>
        </w:rPr>
        <w:t xml:space="preserve"> výkonových</w:t>
      </w:r>
      <w:r w:rsidRPr="00CF3EB5">
        <w:rPr>
          <w:rFonts w:ascii="Arial" w:hAnsi="Arial" w:cs="Arial"/>
          <w:sz w:val="20"/>
          <w:szCs w:val="20"/>
        </w:rPr>
        <w:t xml:space="preserve"> kritérií pro větrací systémy obytných budov</w:t>
      </w:r>
    </w:p>
    <w:p w14:paraId="14D6242A" w14:textId="77777777" w:rsidR="003A67F7" w:rsidRPr="00E9590E" w:rsidRDefault="003A67F7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361F78" w14:textId="77777777" w:rsidR="003A67F7" w:rsidRPr="00E9590E" w:rsidRDefault="003A67F7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Z</w:t>
      </w:r>
      <w:r w:rsidR="00693DDF" w:rsidRPr="00E9590E">
        <w:rPr>
          <w:rFonts w:ascii="Arial" w:hAnsi="Arial" w:cs="Arial"/>
          <w:b/>
          <w:sz w:val="20"/>
          <w:szCs w:val="20"/>
        </w:rPr>
        <w:t>DROJ TEPLA</w:t>
      </w:r>
    </w:p>
    <w:p w14:paraId="156231FC" w14:textId="1F758280" w:rsidR="004A16EC" w:rsidRDefault="002B52C2" w:rsidP="004A16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Rozvod v třetím nadzemním bude napojen na stávající zdroj tepla umístěny v kotelně v druhém nadzemním podlaží.</w:t>
      </w:r>
    </w:p>
    <w:p w14:paraId="73245FE5" w14:textId="77777777" w:rsidR="00E87A7E" w:rsidRDefault="00E87A7E" w:rsidP="004A16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57FBBBE" w14:textId="77777777" w:rsidR="004A16EC" w:rsidRPr="00E9590E" w:rsidRDefault="004A16EC" w:rsidP="004A16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ZABEZPEČOVACÍ ZAŘÍZENÍ</w:t>
      </w:r>
    </w:p>
    <w:p w14:paraId="197B691C" w14:textId="0E18E207" w:rsidR="004A16EC" w:rsidRPr="004A16EC" w:rsidRDefault="002B52C2" w:rsidP="004A16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Zabezpečovací zařízení je řešeno stávajícím způsobem.</w:t>
      </w:r>
    </w:p>
    <w:p w14:paraId="2E7C094D" w14:textId="77777777" w:rsidR="000B35EA" w:rsidRPr="000B35EA" w:rsidRDefault="000B35EA" w:rsidP="000B35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77D964D" w14:textId="77777777" w:rsidR="004A16EC" w:rsidRPr="00E9590E" w:rsidRDefault="004A16EC" w:rsidP="004A16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REGULACE ZDROJE </w:t>
      </w:r>
      <w:r w:rsidR="00E87A7E">
        <w:rPr>
          <w:rFonts w:ascii="Arial" w:hAnsi="Arial" w:cs="Arial"/>
          <w:b/>
          <w:sz w:val="20"/>
          <w:szCs w:val="20"/>
        </w:rPr>
        <w:t>TEPLA</w:t>
      </w:r>
    </w:p>
    <w:p w14:paraId="57FC052D" w14:textId="77777777" w:rsidR="004A16EC" w:rsidRDefault="004A16EC" w:rsidP="004A16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A70471" w14:textId="32A9B302" w:rsidR="004A16EC" w:rsidRDefault="004A16EC" w:rsidP="002B52C2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4A16EC">
        <w:rPr>
          <w:rFonts w:ascii="Arial" w:hAnsi="Arial" w:cs="Arial"/>
          <w:sz w:val="20"/>
          <w:szCs w:val="20"/>
        </w:rPr>
        <w:t xml:space="preserve">Celý systém bude řízen </w:t>
      </w:r>
      <w:r w:rsidR="002B52C2">
        <w:rPr>
          <w:rFonts w:ascii="Arial" w:hAnsi="Arial" w:cs="Arial"/>
          <w:sz w:val="20"/>
          <w:szCs w:val="20"/>
        </w:rPr>
        <w:t>stávajícím způsobem.</w:t>
      </w:r>
    </w:p>
    <w:p w14:paraId="27624F8C" w14:textId="77777777" w:rsidR="003A67F7" w:rsidRPr="00E9590E" w:rsidRDefault="003A67F7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</w:r>
    </w:p>
    <w:p w14:paraId="0192884D" w14:textId="77777777" w:rsidR="006B4085" w:rsidRDefault="003A67F7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VYTÁPĚNÍ</w:t>
      </w:r>
    </w:p>
    <w:p w14:paraId="2EF94755" w14:textId="1DE4DAC9" w:rsidR="007D76D5" w:rsidRDefault="006B4085" w:rsidP="00B21F8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36A9F">
        <w:rPr>
          <w:rFonts w:ascii="Arial" w:hAnsi="Arial" w:cs="Arial"/>
          <w:sz w:val="20"/>
          <w:szCs w:val="20"/>
        </w:rPr>
        <w:t xml:space="preserve">V místnostech </w:t>
      </w:r>
      <w:r w:rsidR="002B52C2">
        <w:rPr>
          <w:rFonts w:ascii="Arial" w:hAnsi="Arial" w:cs="Arial"/>
          <w:sz w:val="20"/>
          <w:szCs w:val="20"/>
        </w:rPr>
        <w:t>3</w:t>
      </w:r>
      <w:r w:rsidRPr="00836A9F">
        <w:rPr>
          <w:rFonts w:ascii="Arial" w:hAnsi="Arial" w:cs="Arial"/>
          <w:sz w:val="20"/>
          <w:szCs w:val="20"/>
        </w:rPr>
        <w:t>.</w:t>
      </w:r>
      <w:r w:rsidR="00B21F8B">
        <w:rPr>
          <w:rFonts w:ascii="Arial" w:hAnsi="Arial" w:cs="Arial"/>
          <w:sz w:val="20"/>
          <w:szCs w:val="20"/>
        </w:rPr>
        <w:t>NP jsou navrženy desková otopná tělesa s bočním připojením</w:t>
      </w:r>
      <w:r w:rsidRPr="00836A9F">
        <w:rPr>
          <w:rFonts w:ascii="Arial" w:hAnsi="Arial" w:cs="Arial"/>
          <w:sz w:val="20"/>
          <w:szCs w:val="20"/>
        </w:rPr>
        <w:t>.</w:t>
      </w:r>
      <w:r w:rsidR="00A902DE">
        <w:rPr>
          <w:rFonts w:ascii="Arial" w:hAnsi="Arial" w:cs="Arial"/>
          <w:sz w:val="20"/>
          <w:szCs w:val="20"/>
        </w:rPr>
        <w:t xml:space="preserve"> </w:t>
      </w:r>
    </w:p>
    <w:p w14:paraId="2C3263D1" w14:textId="77777777" w:rsidR="000B35EA" w:rsidRDefault="000B35EA" w:rsidP="00F35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2C1DE6" w14:textId="77777777" w:rsidR="00254CD4" w:rsidRDefault="00254CD4" w:rsidP="00254CD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Otopná tělesa:</w:t>
      </w:r>
    </w:p>
    <w:p w14:paraId="15AAB9B2" w14:textId="6CCE1305" w:rsidR="00B21F8B" w:rsidRPr="00E9590E" w:rsidRDefault="00B21F8B" w:rsidP="00B21F8B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místnostech </w:t>
      </w:r>
      <w:r w:rsidR="002B52C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.NP budou osazeny deskové </w:t>
      </w:r>
      <w:proofErr w:type="gramStart"/>
      <w:r>
        <w:rPr>
          <w:rFonts w:ascii="Arial" w:hAnsi="Arial" w:cs="Arial"/>
          <w:sz w:val="20"/>
          <w:szCs w:val="20"/>
        </w:rPr>
        <w:t>otopné tělesa</w:t>
      </w:r>
      <w:proofErr w:type="gramEnd"/>
      <w:r>
        <w:rPr>
          <w:rFonts w:ascii="Arial" w:hAnsi="Arial" w:cs="Arial"/>
          <w:sz w:val="20"/>
          <w:szCs w:val="20"/>
        </w:rPr>
        <w:t xml:space="preserve"> s bočním připojením.</w:t>
      </w:r>
      <w:r w:rsidRPr="005F2592">
        <w:rPr>
          <w:rFonts w:ascii="Arial" w:hAnsi="Arial" w:cs="Arial"/>
          <w:sz w:val="20"/>
          <w:szCs w:val="20"/>
        </w:rPr>
        <w:t xml:space="preserve"> </w:t>
      </w:r>
      <w:r w:rsidRPr="00DA5E6C">
        <w:rPr>
          <w:rFonts w:ascii="Arial" w:hAnsi="Arial" w:cs="Arial"/>
          <w:sz w:val="20"/>
          <w:szCs w:val="20"/>
        </w:rPr>
        <w:t xml:space="preserve">Připojení bude provedeno pomocí </w:t>
      </w:r>
      <w:r w:rsidR="00A07ECA">
        <w:rPr>
          <w:rFonts w:ascii="Arial" w:hAnsi="Arial" w:cs="Arial"/>
          <w:sz w:val="20"/>
          <w:szCs w:val="20"/>
        </w:rPr>
        <w:t>přímé</w:t>
      </w:r>
      <w:r w:rsidRPr="00DA5E6C">
        <w:rPr>
          <w:rFonts w:ascii="Arial" w:hAnsi="Arial" w:cs="Arial"/>
          <w:sz w:val="20"/>
          <w:szCs w:val="20"/>
        </w:rPr>
        <w:t xml:space="preserve"> termostatické hlavice. Všechna otopná tělesa jsou dodávaná vč. soupravy pro upevnění na stěnu obsahující 4 ks speciálních konzol z plastu, vruty, hmoždinky a návod na montáž. Všechna desková otopná tělesa budou osazena termostatickou hlavicí</w:t>
      </w:r>
    </w:p>
    <w:p w14:paraId="1681A9E0" w14:textId="77777777" w:rsidR="005C4C7A" w:rsidRDefault="005C4C7A" w:rsidP="005C4C7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701178A" w14:textId="38BC8FF1" w:rsidR="000B35EA" w:rsidRDefault="000B35EA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4EAE466" w14:textId="3248DA59" w:rsidR="002B52C2" w:rsidRDefault="002B52C2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FED5223" w14:textId="3E74DF55" w:rsidR="002B52C2" w:rsidRDefault="002B52C2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4A898D2" w14:textId="77777777" w:rsidR="002B52C2" w:rsidRDefault="002B52C2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FF0E35A" w14:textId="77777777" w:rsidR="006033A9" w:rsidRPr="00E9590E" w:rsidRDefault="006033A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MATERIÁLY</w:t>
      </w:r>
    </w:p>
    <w:p w14:paraId="274E9B7C" w14:textId="0A857784" w:rsidR="00D12226" w:rsidRPr="00D216D3" w:rsidRDefault="003A67F7" w:rsidP="00D12226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216D3">
        <w:rPr>
          <w:rFonts w:ascii="Arial" w:hAnsi="Arial" w:cs="Arial"/>
          <w:sz w:val="20"/>
          <w:szCs w:val="20"/>
        </w:rPr>
        <w:t xml:space="preserve">Potrubí </w:t>
      </w:r>
      <w:r w:rsidR="00C31B7A">
        <w:rPr>
          <w:rFonts w:ascii="Arial" w:hAnsi="Arial" w:cs="Arial"/>
          <w:sz w:val="20"/>
          <w:szCs w:val="20"/>
        </w:rPr>
        <w:t>pro vytápění je</w:t>
      </w:r>
      <w:r w:rsidR="003A011D" w:rsidRPr="00D216D3">
        <w:rPr>
          <w:rFonts w:ascii="Arial" w:hAnsi="Arial" w:cs="Arial"/>
          <w:sz w:val="20"/>
          <w:szCs w:val="20"/>
        </w:rPr>
        <w:t xml:space="preserve"> </w:t>
      </w:r>
      <w:r w:rsidRPr="00D216D3">
        <w:rPr>
          <w:rFonts w:ascii="Arial" w:hAnsi="Arial" w:cs="Arial"/>
          <w:sz w:val="20"/>
          <w:szCs w:val="20"/>
        </w:rPr>
        <w:t xml:space="preserve">navrženo z měděných polotvrdých trub F25 spojovaných kapilárním pájením. </w:t>
      </w:r>
      <w:r w:rsidR="00F313F9" w:rsidRPr="00D216D3">
        <w:rPr>
          <w:rFonts w:ascii="Arial" w:hAnsi="Arial" w:cs="Arial"/>
          <w:sz w:val="20"/>
          <w:szCs w:val="20"/>
        </w:rPr>
        <w:t>Tvarovky jsou z bronzu</w:t>
      </w:r>
      <w:r w:rsidR="006033A9" w:rsidRPr="00D216D3">
        <w:rPr>
          <w:rFonts w:ascii="Arial" w:hAnsi="Arial" w:cs="Arial"/>
          <w:sz w:val="20"/>
          <w:szCs w:val="20"/>
        </w:rPr>
        <w:t xml:space="preserve"> řady 3xxx nebo mědi řady 6xxx. Tepelná izolace je PE trubicemi </w:t>
      </w:r>
      <w:proofErr w:type="gramStart"/>
      <w:r w:rsidR="006033A9" w:rsidRPr="00D216D3">
        <w:rPr>
          <w:rFonts w:ascii="Arial" w:hAnsi="Arial" w:cs="Arial"/>
          <w:sz w:val="20"/>
          <w:szCs w:val="20"/>
        </w:rPr>
        <w:t>s  ochranou</w:t>
      </w:r>
      <w:proofErr w:type="gramEnd"/>
      <w:r w:rsidR="006033A9" w:rsidRPr="00D216D3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6033A9" w:rsidRPr="00D216D3">
        <w:rPr>
          <w:rFonts w:ascii="Arial" w:hAnsi="Arial" w:cs="Arial"/>
          <w:sz w:val="20"/>
          <w:szCs w:val="20"/>
        </w:rPr>
        <w:t>Thermacompact</w:t>
      </w:r>
      <w:proofErr w:type="spellEnd"/>
      <w:r w:rsidR="006033A9" w:rsidRPr="00D216D3">
        <w:rPr>
          <w:rFonts w:ascii="Arial" w:hAnsi="Arial" w:cs="Arial"/>
          <w:sz w:val="20"/>
          <w:szCs w:val="20"/>
        </w:rPr>
        <w:t xml:space="preserve"> IH. Tloušťky izolací budou v souladu s</w:t>
      </w:r>
      <w:r w:rsidR="00FE364B" w:rsidRPr="00D216D3">
        <w:rPr>
          <w:rFonts w:ascii="Arial" w:hAnsi="Arial" w:cs="Arial"/>
          <w:sz w:val="20"/>
          <w:szCs w:val="20"/>
        </w:rPr>
        <w:t> </w:t>
      </w:r>
      <w:r w:rsidR="006033A9" w:rsidRPr="00D216D3">
        <w:rPr>
          <w:rFonts w:ascii="Arial" w:hAnsi="Arial" w:cs="Arial"/>
          <w:sz w:val="20"/>
          <w:szCs w:val="20"/>
        </w:rPr>
        <w:t>vyhláškou</w:t>
      </w:r>
      <w:r w:rsidR="00FE364B" w:rsidRPr="00D216D3">
        <w:rPr>
          <w:rFonts w:ascii="Arial" w:hAnsi="Arial" w:cs="Arial"/>
          <w:sz w:val="20"/>
          <w:szCs w:val="20"/>
        </w:rPr>
        <w:t xml:space="preserve"> </w:t>
      </w:r>
      <w:r w:rsidR="006033A9" w:rsidRPr="00D216D3">
        <w:rPr>
          <w:rFonts w:ascii="Arial" w:hAnsi="Arial" w:cs="Arial"/>
          <w:sz w:val="20"/>
          <w:szCs w:val="20"/>
        </w:rPr>
        <w:t xml:space="preserve">č. 193/2007 Sb. </w:t>
      </w:r>
    </w:p>
    <w:p w14:paraId="26ECC37B" w14:textId="348F1BFD" w:rsidR="006033A9" w:rsidRPr="00E9590E" w:rsidRDefault="00C31B7A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Potrubí pro propojení tepelných čerpadel je navrženo z </w:t>
      </w:r>
      <w:proofErr w:type="spellStart"/>
      <w:r>
        <w:rPr>
          <w:rFonts w:ascii="Arial" w:hAnsi="Arial" w:cs="Arial"/>
          <w:sz w:val="20"/>
          <w:szCs w:val="20"/>
        </w:rPr>
        <w:t>plasto</w:t>
      </w:r>
      <w:proofErr w:type="spellEnd"/>
      <w:r>
        <w:rPr>
          <w:rFonts w:ascii="Arial" w:hAnsi="Arial" w:cs="Arial"/>
          <w:sz w:val="20"/>
          <w:szCs w:val="20"/>
        </w:rPr>
        <w:t xml:space="preserve">-hliníkového potrubí </w:t>
      </w:r>
      <w:proofErr w:type="spellStart"/>
      <w:r>
        <w:rPr>
          <w:rFonts w:ascii="Arial" w:hAnsi="Arial" w:cs="Arial"/>
          <w:sz w:val="20"/>
          <w:szCs w:val="20"/>
        </w:rPr>
        <w:t>Alpex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6413FFD3" w14:textId="77777777" w:rsidR="008F0A85" w:rsidRDefault="008F0A85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4A400E" w14:textId="77777777" w:rsidR="006033A9" w:rsidRPr="00E9590E" w:rsidRDefault="006033A9" w:rsidP="006033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9590E">
        <w:rPr>
          <w:rFonts w:ascii="Arial" w:hAnsi="Arial" w:cs="Arial"/>
          <w:b/>
          <w:sz w:val="20"/>
          <w:szCs w:val="20"/>
        </w:rPr>
        <w:t>BEZPEČNOST PŘI PRÁCI A MONTÁŽNÍ POKYNY</w:t>
      </w:r>
    </w:p>
    <w:p w14:paraId="31884356" w14:textId="77777777" w:rsidR="006033A9" w:rsidRPr="00E9590E" w:rsidRDefault="006033A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  <w:t xml:space="preserve">Během stavebních i montážních prací je nutné plnění platných bezpečnostních a technických předpisů a norem ČSN – EN, stejně tak i technologických pracovních postupů. Z toho vyplývá, že práci může provádět pouze oprávněná odborná firma. Po ukončení montáže se provede zkouška těsnosti a následně topná zkouška v délce 24 hodin. </w:t>
      </w:r>
    </w:p>
    <w:p w14:paraId="538C0399" w14:textId="77777777" w:rsidR="00A00FC9" w:rsidRPr="00E9590E" w:rsidRDefault="00A00FC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Základní požadavky k zajištění bezpečnosti práce stanoví vyhláška č. 48/1982 Sb.</w:t>
      </w:r>
    </w:p>
    <w:p w14:paraId="3D72D7C1" w14:textId="77777777" w:rsidR="00A00FC9" w:rsidRPr="00E9590E" w:rsidRDefault="00A00FC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ab/>
        <w:t>Základní právní normou je zde nařízení vlády č. 591/2006 Sb., o bližších minimálních požadavcích na bezpečnost a ochranu zdraví při práci na staveništích.</w:t>
      </w:r>
    </w:p>
    <w:p w14:paraId="79CBD26A" w14:textId="77777777" w:rsidR="00A00FC9" w:rsidRPr="00E9590E" w:rsidRDefault="00A00FC9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Nařízení vlády č. 121/90 Sb., o pracovně právních vztazích</w:t>
      </w:r>
    </w:p>
    <w:p w14:paraId="1B541B67" w14:textId="77777777" w:rsidR="00A00FC9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Nařízení vlády č. 523/02 Sb., o podmínkách ochrany zdraví zaměstnanců</w:t>
      </w:r>
    </w:p>
    <w:p w14:paraId="04AC11AB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Zákoník práce</w:t>
      </w:r>
    </w:p>
    <w:p w14:paraId="582E7907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Zákon č. 580/90 Sb., o zdravotním pojištění</w:t>
      </w:r>
    </w:p>
    <w:p w14:paraId="09E5EC52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34 3108 Bezpečnostní předpisy o zacházení s elektrickým zařízením pracovníky seznámenými</w:t>
      </w:r>
    </w:p>
    <w:p w14:paraId="54A7B30B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 xml:space="preserve">ČSN 34 1000 Bezpečnostní předpisy pro obsluhu při práci na elektrických zařízeních </w:t>
      </w:r>
    </w:p>
    <w:p w14:paraId="408CA21C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01 8010 Bezpečnostní barva a značky</w:t>
      </w:r>
    </w:p>
    <w:p w14:paraId="6E33E256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27 0144 Zdvihací zařízení. Prostředky pro vázání, zavěšení a uchopení břemen</w:t>
      </w:r>
    </w:p>
    <w:p w14:paraId="577EF919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73 8101 a ČSN 73 8106 Lešení, ochranné a záchytné konstrukce</w:t>
      </w:r>
    </w:p>
    <w:p w14:paraId="3D2717AA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74 3305 Ochranná zábradlí</w:t>
      </w:r>
    </w:p>
    <w:p w14:paraId="1FC39799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83 2612 Bezpečnostní lana</w:t>
      </w:r>
    </w:p>
    <w:p w14:paraId="2D9B7CF5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832611 Bezpečnostní postoje a pásy</w:t>
      </w:r>
    </w:p>
    <w:p w14:paraId="41159B92" w14:textId="77777777" w:rsidR="00E8525F" w:rsidRPr="00E9590E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590E">
        <w:rPr>
          <w:rFonts w:ascii="Arial" w:hAnsi="Arial" w:cs="Arial"/>
          <w:sz w:val="20"/>
          <w:szCs w:val="20"/>
        </w:rPr>
        <w:t>ČSN 73 8120 Stavební plošinové výtahy a další související předpisy</w:t>
      </w:r>
    </w:p>
    <w:p w14:paraId="74FDFE56" w14:textId="77777777" w:rsidR="00E8525F" w:rsidRDefault="00E8525F" w:rsidP="006033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132253" w14:textId="77777777" w:rsidR="00D41CF5" w:rsidRDefault="00D41CF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2C18B860" w14:textId="77777777" w:rsidR="00E8525F" w:rsidRPr="0020380B" w:rsidRDefault="00E8525F" w:rsidP="006033A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380B">
        <w:rPr>
          <w:rFonts w:ascii="Arial" w:hAnsi="Arial" w:cs="Arial"/>
          <w:b/>
          <w:sz w:val="20"/>
          <w:szCs w:val="20"/>
        </w:rPr>
        <w:lastRenderedPageBreak/>
        <w:t>TECHNICKÉ ÚDAJE</w:t>
      </w:r>
    </w:p>
    <w:p w14:paraId="4B65F5C5" w14:textId="543163CC" w:rsidR="00E8525F" w:rsidRPr="00D216D3" w:rsidRDefault="00E8525F" w:rsidP="00E8525F">
      <w:pPr>
        <w:pStyle w:val="Odstavecseseznamem"/>
        <w:numPr>
          <w:ilvl w:val="0"/>
          <w:numId w:val="1"/>
        </w:num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216D3">
        <w:rPr>
          <w:rFonts w:ascii="Arial" w:hAnsi="Arial" w:cs="Arial"/>
          <w:sz w:val="20"/>
          <w:szCs w:val="20"/>
        </w:rPr>
        <w:t>Potřeba tepla pro vytápění</w:t>
      </w:r>
      <w:r w:rsidR="002B52C2">
        <w:rPr>
          <w:rFonts w:ascii="Arial" w:hAnsi="Arial" w:cs="Arial"/>
          <w:sz w:val="20"/>
          <w:szCs w:val="20"/>
        </w:rPr>
        <w:t xml:space="preserve"> 3.NP</w:t>
      </w:r>
      <w:r w:rsidRPr="00D216D3">
        <w:rPr>
          <w:rFonts w:ascii="Arial" w:hAnsi="Arial" w:cs="Arial"/>
          <w:sz w:val="20"/>
          <w:szCs w:val="20"/>
        </w:rPr>
        <w:t xml:space="preserve"> při </w:t>
      </w:r>
      <w:proofErr w:type="spellStart"/>
      <w:r w:rsidRPr="00D216D3">
        <w:rPr>
          <w:rFonts w:ascii="Arial" w:hAnsi="Arial" w:cs="Arial"/>
          <w:sz w:val="20"/>
          <w:szCs w:val="20"/>
        </w:rPr>
        <w:t>te</w:t>
      </w:r>
      <w:proofErr w:type="spellEnd"/>
      <w:r w:rsidRPr="00D216D3">
        <w:rPr>
          <w:rFonts w:ascii="Arial" w:hAnsi="Arial" w:cs="Arial"/>
          <w:sz w:val="20"/>
          <w:szCs w:val="20"/>
        </w:rPr>
        <w:t xml:space="preserve"> -</w:t>
      </w:r>
      <w:proofErr w:type="gramStart"/>
      <w:r w:rsidRPr="00D216D3">
        <w:rPr>
          <w:rFonts w:ascii="Arial" w:hAnsi="Arial" w:cs="Arial"/>
          <w:sz w:val="20"/>
          <w:szCs w:val="20"/>
        </w:rPr>
        <w:t>1</w:t>
      </w:r>
      <w:r w:rsidR="002B52C2">
        <w:rPr>
          <w:rFonts w:ascii="Arial" w:hAnsi="Arial" w:cs="Arial"/>
          <w:sz w:val="20"/>
          <w:szCs w:val="20"/>
        </w:rPr>
        <w:t>2</w:t>
      </w:r>
      <w:r w:rsidRPr="00D216D3">
        <w:rPr>
          <w:rFonts w:ascii="Arial" w:hAnsi="Arial" w:cs="Arial"/>
          <w:sz w:val="20"/>
          <w:szCs w:val="20"/>
        </w:rPr>
        <w:t>°C</w:t>
      </w:r>
      <w:proofErr w:type="gramEnd"/>
      <w:r w:rsidRPr="00D216D3">
        <w:rPr>
          <w:rFonts w:ascii="Arial" w:hAnsi="Arial" w:cs="Arial"/>
          <w:sz w:val="20"/>
          <w:szCs w:val="20"/>
        </w:rPr>
        <w:t>:</w:t>
      </w:r>
      <w:r w:rsidRPr="00D216D3">
        <w:rPr>
          <w:rFonts w:ascii="Arial" w:hAnsi="Arial" w:cs="Arial"/>
          <w:sz w:val="20"/>
          <w:szCs w:val="20"/>
        </w:rPr>
        <w:tab/>
      </w:r>
      <w:r w:rsidR="00D2682A">
        <w:rPr>
          <w:rFonts w:ascii="Arial" w:hAnsi="Arial" w:cs="Arial"/>
          <w:sz w:val="20"/>
          <w:szCs w:val="20"/>
        </w:rPr>
        <w:t>20,47</w:t>
      </w:r>
      <w:r w:rsidRPr="00D216D3">
        <w:rPr>
          <w:rFonts w:ascii="Arial" w:hAnsi="Arial" w:cs="Arial"/>
          <w:sz w:val="20"/>
          <w:szCs w:val="20"/>
        </w:rPr>
        <w:t xml:space="preserve"> kW</w:t>
      </w:r>
    </w:p>
    <w:p w14:paraId="21925791" w14:textId="579B31D5" w:rsidR="00E8525F" w:rsidRPr="00D216D3" w:rsidRDefault="002B52C2" w:rsidP="00E8525F">
      <w:pPr>
        <w:pStyle w:val="Odstavecseseznamem"/>
        <w:numPr>
          <w:ilvl w:val="0"/>
          <w:numId w:val="1"/>
        </w:num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Předpokládaný t</w:t>
      </w:r>
      <w:r w:rsidR="00E8525F" w:rsidRPr="00D216D3">
        <w:rPr>
          <w:rFonts w:ascii="Arial" w:hAnsi="Arial" w:cs="Arial"/>
          <w:sz w:val="20"/>
          <w:szCs w:val="20"/>
        </w:rPr>
        <w:t>eplotní spád okruhu vytápění:</w:t>
      </w:r>
      <w:r w:rsidR="00E8525F" w:rsidRPr="00D216D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55</w:t>
      </w:r>
      <w:r w:rsidR="00E9590E" w:rsidRPr="00D216D3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40</w:t>
      </w:r>
      <w:r w:rsidR="00E8525F" w:rsidRPr="00D216D3">
        <w:rPr>
          <w:rFonts w:ascii="Arial" w:hAnsi="Arial" w:cs="Arial"/>
          <w:sz w:val="20"/>
          <w:szCs w:val="20"/>
        </w:rPr>
        <w:t xml:space="preserve"> °C</w:t>
      </w:r>
    </w:p>
    <w:p w14:paraId="607B9610" w14:textId="77777777" w:rsidR="00894151" w:rsidRDefault="00894151" w:rsidP="00894151">
      <w:pPr>
        <w:tabs>
          <w:tab w:val="left" w:leader="do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894151" w:rsidSect="00E852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3F21E" w14:textId="77777777" w:rsidR="00EF0601" w:rsidRDefault="00EF0601" w:rsidP="00E8525F">
      <w:pPr>
        <w:spacing w:after="0" w:line="240" w:lineRule="auto"/>
      </w:pPr>
      <w:r>
        <w:separator/>
      </w:r>
    </w:p>
  </w:endnote>
  <w:endnote w:type="continuationSeparator" w:id="0">
    <w:p w14:paraId="38290DDB" w14:textId="77777777" w:rsidR="00EF0601" w:rsidRDefault="00EF0601" w:rsidP="00E8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54F2" w14:textId="77777777" w:rsidR="00E8525F" w:rsidRDefault="00E852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430359"/>
      <w:docPartObj>
        <w:docPartGallery w:val="Page Numbers (Bottom of Page)"/>
        <w:docPartUnique/>
      </w:docPartObj>
    </w:sdtPr>
    <w:sdtEndPr/>
    <w:sdtContent>
      <w:p w14:paraId="0BC81AA9" w14:textId="77777777" w:rsidR="00E8525F" w:rsidRDefault="00B77347">
        <w:pPr>
          <w:pStyle w:val="Zpat"/>
          <w:jc w:val="center"/>
        </w:pPr>
        <w:r>
          <w:fldChar w:fldCharType="begin"/>
        </w:r>
        <w:r w:rsidR="00E8525F">
          <w:instrText>PAGE   \* MERGEFORMAT</w:instrText>
        </w:r>
        <w:r>
          <w:fldChar w:fldCharType="separate"/>
        </w:r>
        <w:r w:rsidR="005D4971">
          <w:rPr>
            <w:noProof/>
          </w:rPr>
          <w:t>4</w:t>
        </w:r>
        <w:r>
          <w:fldChar w:fldCharType="end"/>
        </w:r>
      </w:p>
    </w:sdtContent>
  </w:sdt>
  <w:p w14:paraId="16B3744D" w14:textId="77777777" w:rsidR="00E8525F" w:rsidRDefault="00E852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6453" w14:textId="77777777" w:rsidR="00E8525F" w:rsidRDefault="00E852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F1C28" w14:textId="77777777" w:rsidR="00EF0601" w:rsidRDefault="00EF0601" w:rsidP="00E8525F">
      <w:pPr>
        <w:spacing w:after="0" w:line="240" w:lineRule="auto"/>
      </w:pPr>
      <w:r>
        <w:separator/>
      </w:r>
    </w:p>
  </w:footnote>
  <w:footnote w:type="continuationSeparator" w:id="0">
    <w:p w14:paraId="4F856403" w14:textId="77777777" w:rsidR="00EF0601" w:rsidRDefault="00EF0601" w:rsidP="00E85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434AB" w14:textId="77777777" w:rsidR="00E8525F" w:rsidRDefault="00E852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66B9F" w14:textId="77777777" w:rsidR="00E8525F" w:rsidRDefault="00E852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DBA2" w14:textId="77777777" w:rsidR="00E8525F" w:rsidRDefault="00E852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12FDD"/>
    <w:multiLevelType w:val="hybridMultilevel"/>
    <w:tmpl w:val="D2FCBF6E"/>
    <w:lvl w:ilvl="0" w:tplc="4E14EA7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393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7F7"/>
    <w:rsid w:val="000719E1"/>
    <w:rsid w:val="0007757F"/>
    <w:rsid w:val="000909DD"/>
    <w:rsid w:val="000A7E46"/>
    <w:rsid w:val="000B0B00"/>
    <w:rsid w:val="000B21AB"/>
    <w:rsid w:val="000B35EA"/>
    <w:rsid w:val="000D0937"/>
    <w:rsid w:val="000E5EBC"/>
    <w:rsid w:val="00114572"/>
    <w:rsid w:val="00154ACA"/>
    <w:rsid w:val="00173D99"/>
    <w:rsid w:val="001910E1"/>
    <w:rsid w:val="001A4B94"/>
    <w:rsid w:val="001C34AA"/>
    <w:rsid w:val="001E79EE"/>
    <w:rsid w:val="001F1C84"/>
    <w:rsid w:val="0020380B"/>
    <w:rsid w:val="002051EE"/>
    <w:rsid w:val="002126A4"/>
    <w:rsid w:val="00227F06"/>
    <w:rsid w:val="00250262"/>
    <w:rsid w:val="00254CD4"/>
    <w:rsid w:val="00263AA2"/>
    <w:rsid w:val="00267274"/>
    <w:rsid w:val="0027133B"/>
    <w:rsid w:val="002A29A6"/>
    <w:rsid w:val="002B52C2"/>
    <w:rsid w:val="002D2EF9"/>
    <w:rsid w:val="002F5BCD"/>
    <w:rsid w:val="00301382"/>
    <w:rsid w:val="003256E9"/>
    <w:rsid w:val="00330669"/>
    <w:rsid w:val="00333378"/>
    <w:rsid w:val="00340606"/>
    <w:rsid w:val="00345492"/>
    <w:rsid w:val="00362354"/>
    <w:rsid w:val="003906D8"/>
    <w:rsid w:val="003A011D"/>
    <w:rsid w:val="003A2984"/>
    <w:rsid w:val="003A67F7"/>
    <w:rsid w:val="003F7EBA"/>
    <w:rsid w:val="00441717"/>
    <w:rsid w:val="00455296"/>
    <w:rsid w:val="004703C7"/>
    <w:rsid w:val="004A16EC"/>
    <w:rsid w:val="004D2753"/>
    <w:rsid w:val="004E22FF"/>
    <w:rsid w:val="00514168"/>
    <w:rsid w:val="00533054"/>
    <w:rsid w:val="005473C9"/>
    <w:rsid w:val="00561CA1"/>
    <w:rsid w:val="00586E98"/>
    <w:rsid w:val="005946F9"/>
    <w:rsid w:val="005C4C7A"/>
    <w:rsid w:val="005D4971"/>
    <w:rsid w:val="005F1455"/>
    <w:rsid w:val="005F2592"/>
    <w:rsid w:val="005F7EEF"/>
    <w:rsid w:val="006033A9"/>
    <w:rsid w:val="00626617"/>
    <w:rsid w:val="0066533E"/>
    <w:rsid w:val="00680281"/>
    <w:rsid w:val="00693DDF"/>
    <w:rsid w:val="006964D0"/>
    <w:rsid w:val="006A5924"/>
    <w:rsid w:val="006B4085"/>
    <w:rsid w:val="006D5FCA"/>
    <w:rsid w:val="006E49F2"/>
    <w:rsid w:val="006E567C"/>
    <w:rsid w:val="00714BE5"/>
    <w:rsid w:val="00717F1E"/>
    <w:rsid w:val="00735113"/>
    <w:rsid w:val="00743136"/>
    <w:rsid w:val="0074692E"/>
    <w:rsid w:val="00753702"/>
    <w:rsid w:val="00757E95"/>
    <w:rsid w:val="007674E0"/>
    <w:rsid w:val="007869DB"/>
    <w:rsid w:val="00795DC2"/>
    <w:rsid w:val="007D76D5"/>
    <w:rsid w:val="00802C5F"/>
    <w:rsid w:val="0080472A"/>
    <w:rsid w:val="0084540A"/>
    <w:rsid w:val="008654D7"/>
    <w:rsid w:val="008769EE"/>
    <w:rsid w:val="00882038"/>
    <w:rsid w:val="0088673C"/>
    <w:rsid w:val="00894151"/>
    <w:rsid w:val="008C03FD"/>
    <w:rsid w:val="008D1488"/>
    <w:rsid w:val="008F0A85"/>
    <w:rsid w:val="009039D9"/>
    <w:rsid w:val="009168B5"/>
    <w:rsid w:val="009206CF"/>
    <w:rsid w:val="00947C13"/>
    <w:rsid w:val="009559EF"/>
    <w:rsid w:val="009F7053"/>
    <w:rsid w:val="00A00FC9"/>
    <w:rsid w:val="00A07ECA"/>
    <w:rsid w:val="00A679A2"/>
    <w:rsid w:val="00A728E4"/>
    <w:rsid w:val="00A74BB9"/>
    <w:rsid w:val="00A84109"/>
    <w:rsid w:val="00A902DE"/>
    <w:rsid w:val="00B21F8B"/>
    <w:rsid w:val="00B6146F"/>
    <w:rsid w:val="00B77347"/>
    <w:rsid w:val="00B82714"/>
    <w:rsid w:val="00B91953"/>
    <w:rsid w:val="00B91974"/>
    <w:rsid w:val="00B9729A"/>
    <w:rsid w:val="00BB3474"/>
    <w:rsid w:val="00BE45E7"/>
    <w:rsid w:val="00BF247C"/>
    <w:rsid w:val="00C013DA"/>
    <w:rsid w:val="00C23477"/>
    <w:rsid w:val="00C31B7A"/>
    <w:rsid w:val="00C35CF1"/>
    <w:rsid w:val="00C52C2C"/>
    <w:rsid w:val="00CB6DDA"/>
    <w:rsid w:val="00CF3EB5"/>
    <w:rsid w:val="00CF4832"/>
    <w:rsid w:val="00D12226"/>
    <w:rsid w:val="00D216D3"/>
    <w:rsid w:val="00D2682A"/>
    <w:rsid w:val="00D302F1"/>
    <w:rsid w:val="00D41CF5"/>
    <w:rsid w:val="00D44FAE"/>
    <w:rsid w:val="00D82E8B"/>
    <w:rsid w:val="00D87D3A"/>
    <w:rsid w:val="00DA75B7"/>
    <w:rsid w:val="00DC3875"/>
    <w:rsid w:val="00DF73C4"/>
    <w:rsid w:val="00E103ED"/>
    <w:rsid w:val="00E16688"/>
    <w:rsid w:val="00E61EC4"/>
    <w:rsid w:val="00E8525F"/>
    <w:rsid w:val="00E87A7E"/>
    <w:rsid w:val="00E9590E"/>
    <w:rsid w:val="00EA042A"/>
    <w:rsid w:val="00EA4E42"/>
    <w:rsid w:val="00EA7104"/>
    <w:rsid w:val="00EF0601"/>
    <w:rsid w:val="00F313F9"/>
    <w:rsid w:val="00F35AE2"/>
    <w:rsid w:val="00F541B1"/>
    <w:rsid w:val="00F87FD9"/>
    <w:rsid w:val="00FC675D"/>
    <w:rsid w:val="00FD5CA3"/>
    <w:rsid w:val="00FE364B"/>
    <w:rsid w:val="00FF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B065F"/>
  <w15:docId w15:val="{CE9771F9-F1EB-4462-A856-8750CD22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4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525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25F"/>
  </w:style>
  <w:style w:type="paragraph" w:styleId="Zpat">
    <w:name w:val="footer"/>
    <w:basedOn w:val="Normln"/>
    <w:link w:val="ZpatChar"/>
    <w:uiPriority w:val="99"/>
    <w:unhideWhenUsed/>
    <w:rsid w:val="00E85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730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Fabián</dc:creator>
  <cp:lastModifiedBy>Lukáš Němec</cp:lastModifiedBy>
  <cp:revision>4</cp:revision>
  <cp:lastPrinted>2021-04-13T13:53:00Z</cp:lastPrinted>
  <dcterms:created xsi:type="dcterms:W3CDTF">2022-02-13T18:54:00Z</dcterms:created>
  <dcterms:modified xsi:type="dcterms:W3CDTF">2022-05-18T17:41:00Z</dcterms:modified>
</cp:coreProperties>
</file>